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A7C" w:rsidRDefault="00402A7C" w:rsidP="00402A7C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colorff0000"/>
          <w:rFonts w:ascii="Courier New" w:hAnsi="Courier New" w:cs="Courier New"/>
          <w:color w:val="242424"/>
          <w:sz w:val="18"/>
          <w:szCs w:val="18"/>
        </w:rPr>
        <w:t> </w:t>
      </w:r>
      <w:r>
        <w:rPr>
          <w:rStyle w:val="colorff0000"/>
          <w:rFonts w:ascii="Courier New" w:hAnsi="Courier New" w:cs="Courier New"/>
          <w:color w:val="242424"/>
          <w:sz w:val="18"/>
          <w:szCs w:val="18"/>
        </w:rPr>
        <w:tab/>
      </w:r>
      <w:r>
        <w:rPr>
          <w:rStyle w:val="colorff0000"/>
          <w:rFonts w:ascii="Courier New" w:hAnsi="Courier New" w:cs="Courier New"/>
          <w:color w:val="242424"/>
          <w:sz w:val="18"/>
          <w:szCs w:val="18"/>
        </w:rPr>
        <w:tab/>
      </w:r>
      <w:r>
        <w:rPr>
          <w:rStyle w:val="colorff0000"/>
          <w:rFonts w:ascii="Courier New" w:hAnsi="Courier New" w:cs="Courier New"/>
          <w:color w:val="242424"/>
          <w:sz w:val="18"/>
          <w:szCs w:val="18"/>
        </w:rPr>
        <w:tab/>
      </w:r>
      <w:r>
        <w:rPr>
          <w:rStyle w:val="colorff0000"/>
          <w:rFonts w:ascii="Courier New" w:hAnsi="Courier New" w:cs="Courier New"/>
          <w:color w:val="242424"/>
          <w:sz w:val="18"/>
          <w:szCs w:val="18"/>
        </w:rPr>
        <w:tab/>
      </w:r>
      <w:r>
        <w:rPr>
          <w:rStyle w:val="colorff0000"/>
          <w:rFonts w:ascii="Courier New" w:hAnsi="Courier New" w:cs="Courier New"/>
          <w:color w:val="242424"/>
          <w:sz w:val="18"/>
          <w:szCs w:val="18"/>
        </w:rPr>
        <w:tab/>
      </w:r>
      <w:r>
        <w:rPr>
          <w:rStyle w:val="colorff0000"/>
          <w:rFonts w:ascii="Courier New" w:hAnsi="Courier New" w:cs="Courier New"/>
          <w:color w:val="242424"/>
          <w:sz w:val="18"/>
          <w:szCs w:val="18"/>
        </w:rPr>
        <w:tab/>
      </w:r>
      <w:r>
        <w:rPr>
          <w:rStyle w:val="colorff0000"/>
          <w:rFonts w:ascii="Courier New" w:hAnsi="Courier New" w:cs="Courier New"/>
          <w:color w:val="242424"/>
          <w:sz w:val="18"/>
          <w:szCs w:val="18"/>
        </w:rPr>
        <w:tab/>
      </w:r>
      <w:r>
        <w:rPr>
          <w:rStyle w:val="colorff0000"/>
          <w:rFonts w:ascii="Courier New" w:hAnsi="Courier New" w:cs="Courier New"/>
          <w:color w:val="242424"/>
          <w:sz w:val="18"/>
          <w:szCs w:val="18"/>
        </w:rPr>
        <w:t> У</w:t>
      </w: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ТВЕРЖДЕНО</w:t>
      </w:r>
    </w:p>
    <w:p w:rsidR="00402A7C" w:rsidRDefault="00402A7C" w:rsidP="00402A7C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       Постановление</w:t>
      </w:r>
    </w:p>
    <w:p w:rsidR="00402A7C" w:rsidRDefault="00402A7C" w:rsidP="00402A7C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       Министерства здравоохранения</w:t>
      </w:r>
    </w:p>
    <w:p w:rsidR="00402A7C" w:rsidRDefault="00402A7C" w:rsidP="00402A7C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       Республики Беларусь</w:t>
      </w:r>
    </w:p>
    <w:p w:rsidR="00402A7C" w:rsidRDefault="00402A7C" w:rsidP="00402A7C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       23.01.2015 N 9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center"/>
        <w:rPr>
          <w:rFonts w:ascii="Arial" w:hAnsi="Arial" w:cs="Arial"/>
          <w:b/>
          <w:bCs/>
          <w:color w:val="242424"/>
          <w:sz w:val="33"/>
          <w:szCs w:val="33"/>
        </w:rPr>
      </w:pPr>
      <w:bookmarkStart w:id="0" w:name="_GoBack"/>
      <w:r>
        <w:rPr>
          <w:rStyle w:val="word-wrapper"/>
          <w:rFonts w:ascii="Arial" w:hAnsi="Arial" w:cs="Arial"/>
          <w:b/>
          <w:bCs/>
          <w:color w:val="242424"/>
          <w:sz w:val="33"/>
          <w:szCs w:val="33"/>
        </w:rPr>
        <w:t>ПРАВИЛА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center"/>
        <w:rPr>
          <w:rStyle w:val="h-normal"/>
          <w:rFonts w:ascii="Arial" w:hAnsi="Arial" w:cs="Arial"/>
          <w:b/>
          <w:bCs/>
          <w:color w:val="242424"/>
          <w:sz w:val="33"/>
          <w:szCs w:val="33"/>
        </w:rPr>
      </w:pPr>
      <w:r>
        <w:rPr>
          <w:rStyle w:val="h-normal"/>
          <w:rFonts w:ascii="Arial" w:hAnsi="Arial" w:cs="Arial"/>
          <w:b/>
          <w:bCs/>
          <w:color w:val="242424"/>
          <w:sz w:val="33"/>
          <w:szCs w:val="33"/>
        </w:rPr>
        <w:t>ОПРЕДЕЛЕНИЯ ТЯЖЕСТИ ПРОИЗВОДСТВЕННЫХ 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center"/>
        <w:rPr>
          <w:rFonts w:ascii="Arial" w:hAnsi="Arial" w:cs="Arial"/>
          <w:b/>
          <w:bCs/>
          <w:color w:val="242424"/>
          <w:sz w:val="33"/>
          <w:szCs w:val="33"/>
        </w:rPr>
      </w:pPr>
      <w:r>
        <w:rPr>
          <w:rStyle w:val="h-normal"/>
          <w:rFonts w:ascii="Arial" w:hAnsi="Arial" w:cs="Arial"/>
          <w:b/>
          <w:bCs/>
          <w:color w:val="242424"/>
          <w:sz w:val="33"/>
          <w:szCs w:val="33"/>
        </w:rPr>
        <w:t>ТРАВМ</w:t>
      </w:r>
    </w:p>
    <w:bookmarkEnd w:id="0"/>
    <w:p w:rsidR="00402A7C" w:rsidRDefault="00402A7C" w:rsidP="00402A7C">
      <w:pPr>
        <w:pStyle w:val="p-normal"/>
        <w:shd w:val="clear" w:color="auto" w:fill="E8F4F6"/>
        <w:spacing w:before="0" w:beforeAutospacing="0" w:after="0" w:afterAutospacing="0"/>
        <w:ind w:firstLine="450"/>
        <w:jc w:val="center"/>
        <w:rPr>
          <w:rFonts w:ascii="Arial" w:hAnsi="Arial" w:cs="Arial"/>
          <w:color w:val="2A3439"/>
          <w:sz w:val="21"/>
          <w:szCs w:val="21"/>
        </w:rPr>
      </w:pPr>
      <w:r>
        <w:rPr>
          <w:rStyle w:val="color0000ff"/>
          <w:rFonts w:ascii="Arial" w:hAnsi="Arial" w:cs="Arial"/>
          <w:color w:val="2A3439"/>
          <w:sz w:val="21"/>
          <w:szCs w:val="21"/>
        </w:rPr>
        <w:t>(в ред. </w:t>
      </w:r>
      <w:r>
        <w:rPr>
          <w:rStyle w:val="colorff00ff"/>
          <w:rFonts w:ascii="Arial" w:hAnsi="Arial" w:cs="Arial"/>
          <w:color w:val="2A3439"/>
          <w:sz w:val="21"/>
          <w:szCs w:val="21"/>
        </w:rPr>
        <w:t>постановления</w:t>
      </w:r>
      <w:r>
        <w:rPr>
          <w:rStyle w:val="fake-non-breaking-space"/>
          <w:rFonts w:ascii="Arial" w:hAnsi="Arial" w:cs="Arial"/>
          <w:color w:val="2A3439"/>
          <w:sz w:val="21"/>
          <w:szCs w:val="21"/>
        </w:rPr>
        <w:t> </w:t>
      </w:r>
      <w:r>
        <w:rPr>
          <w:rStyle w:val="color0000ff"/>
          <w:rFonts w:ascii="Arial" w:hAnsi="Arial" w:cs="Arial"/>
          <w:color w:val="2A3439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1. Настоящие Правила устанавливают порядок определения</w:t>
      </w:r>
      <w:r>
        <w:rPr>
          <w:rStyle w:val="h-normal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тяжести</w:t>
      </w:r>
      <w:r>
        <w:rPr>
          <w:rStyle w:val="h-normal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производственных</w:t>
      </w:r>
      <w:r>
        <w:rPr>
          <w:rStyle w:val="h-normal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травм.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2. Для целей настоящих Правил: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используются термины и их определения в значениях, установленных Законом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Республики Беларусь от 18 июня 1993 г. N 2435-XII "О здравоохранении", главой 6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Положения об обязательном страховании, утвержденного Указом Президента Республики Беларусь от 18 марта 2025 г. N 108;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(в ред.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постановления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под производственной травмой понимается травма, полученная в результате несчастного случая на производстве.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3. Тяжесть производственных травм определяется медицинскими работниками организаций здравоохранения, за исключением медицинских работников, оказывающих скорую медицинскую помощь и (или) осуществляющих медицинскую транспортировку (эвакуацию) пациента (потерпевшего), при обращении пациента (потерпевшего) в случае производственной травмы.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4. При определении тяжести производственной травмы оцениваются характер и локализация повреждения, его опасность для жизни, последствия травмы для здоровья пациента (потерпевшего).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5. Для целей настоящих Правил производственные травмы классифицируются на тяжелые и не относящиеся к тяжелым.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6. К тяжелым производственным травмам относятся: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6.1. повреждения здоровья, опасные для жизни пациента (потерпевшего), вызвавшие расстройство жизненно важных функций организма пациента (потерпевшего), острый период которых сопровождается: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шоком различной этиологии;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комой различной этиологии;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острой кровопотерей (объемом более 20%);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острой недостаточностью функций различных органов и систем организма;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lastRenderedPageBreak/>
        <w:t>острым отравлением химическими и (или) биологическими веществами, ядовитыми веществами животного и растительного происхождения, техническими токсическими жидкостями (спиртами, органическими растворителями и другими), хлорированными углеводородами, галогенпроизводными алифатическими и ароматическими углеводородами, разъедающими веществами (кислотами, щелочами и другими), токсическими газами, дымами, парами, токсическими металлами, пестицидами, инсектицидами, гербицидами, фунгицидами, вызвавшими угрожающие жизни состояния (за исключением заболевания (синдрома), вызванного исключительно или преимущественно воздействием вредного производственного фактора, присутствующего в производственном процессе);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(в ред.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постановления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различными видами механической асфиксии;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6.2. опасные повреждения здоровья, создающие непосредственную угрозу для жизни пациента (потерпевшего):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открытая или закрытая внутричерепная травма тяжелой или средней степени, объективно диагностированное субарахноидальное кровоизлияние;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рана шеи, проникающая в просвет глотки или гортани, или шейного отдела трахеи, или шейного отдела пищевода;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ранение щитовидной железы;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перелом хрящей гортани или трахеальных хрящей;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перелом, вывих одного или нескольких позвонков различных отделов позвоночника, в том числе без нарушения функции спинного мозга;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травматический разрыв одного или нескольких межпозвоночных дисков со сдавлением спинного мозга;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повреждение спинного мозга (ушиб, сдавление, частичное повреждение, анатомический разрыв) на любом уровне;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рана, проникающая в позвоночный канал любого отдела позвоночника, в том числе без повреждения спинного мозга и его корешков;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рана грудной клетки, проникающая в одну из полостей (плевральную, полость перикарда, в клетчатку средостения), в том числе без повреждения внутренних органов;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 xml:space="preserve">закрытое повреждение (размозжение, отрыв, разрыв и другое) одного или нескольких органов грудной полости (сердца, легкого, бронхов, грудного отдела трахеи, вилочковой железы, лимфатического грудного протока, диафрагмы) или травматический </w:t>
      </w:r>
      <w:proofErr w:type="spellStart"/>
      <w:r>
        <w:rPr>
          <w:rStyle w:val="word-wrapper"/>
          <w:color w:val="242424"/>
          <w:sz w:val="30"/>
          <w:szCs w:val="30"/>
        </w:rPr>
        <w:t>гемоперикард</w:t>
      </w:r>
      <w:proofErr w:type="spellEnd"/>
      <w:r>
        <w:rPr>
          <w:rStyle w:val="word-wrapper"/>
          <w:color w:val="242424"/>
          <w:sz w:val="30"/>
          <w:szCs w:val="30"/>
        </w:rPr>
        <w:t>, гемоторакс, пневмоторакс;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lastRenderedPageBreak/>
        <w:t>двусторонние переломы двух и более ребер с нарушением анатомической целостности каркаса грудной клетки или множественные односторонние переломы ребер по двум и более анатомическим линиям с образованием флотации участка грудной стенки;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рана живота, проникающая в брюшную полость;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закрытое повреждение (размозжение, отрыв, разрыв и другое) органов брюшной полости, органов забрюшинного пространства;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рана спины и (или) таза, проникающая в забрюшинное пространство, с повреждением органов забрюшинного пространства;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повреждение (размозжение, отрыв, разрыв и другое) тазовых органов;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рана стенки влагалища, или прямой кишки, или промежности, проникающая в полость и (или) клетчатку малого таза;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переломы костей и (или) разрыв сочленений таза с нарушением непрерывности тазового кольца;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повреждение (разрыв, отрыв, рассечение, травматическая аневризма и другое) крупных кровеносных сосудов, нервов;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травматическая ампутация верхней конечности выше уровня пястно-фаланговых суставов;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перелом шейки и суставной поверхности лопатки со смещением;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открытый или закрытый перелом проксимального, дистального отделов, диафиза плечевой кости со смещением;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(в ред.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постановления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открытый или закрытый перелом диафизов костей предплечья;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открытый или закрытый перелом дистального отдела лучевой и (или) локтевой костей со смещением;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 xml:space="preserve">открытый или закрытый </w:t>
      </w:r>
      <w:proofErr w:type="spellStart"/>
      <w:r>
        <w:rPr>
          <w:rStyle w:val="word-wrapper"/>
          <w:color w:val="242424"/>
          <w:sz w:val="30"/>
          <w:szCs w:val="30"/>
        </w:rPr>
        <w:t>переломо</w:t>
      </w:r>
      <w:proofErr w:type="spellEnd"/>
      <w:r>
        <w:rPr>
          <w:rStyle w:val="word-wrapper"/>
          <w:color w:val="242424"/>
          <w:sz w:val="30"/>
          <w:szCs w:val="30"/>
        </w:rPr>
        <w:t>-вывих костей предплечья, в том числе перелом локтевой в верхней или средней трети с вывихом головки лучевой кости (</w:t>
      </w:r>
      <w:proofErr w:type="spellStart"/>
      <w:r>
        <w:rPr>
          <w:rStyle w:val="word-wrapper"/>
          <w:color w:val="242424"/>
          <w:sz w:val="30"/>
          <w:szCs w:val="30"/>
        </w:rPr>
        <w:t>переломо</w:t>
      </w:r>
      <w:proofErr w:type="spellEnd"/>
      <w:r>
        <w:rPr>
          <w:rStyle w:val="word-wrapper"/>
          <w:color w:val="242424"/>
          <w:sz w:val="30"/>
          <w:szCs w:val="30"/>
        </w:rPr>
        <w:t xml:space="preserve">-вывих </w:t>
      </w:r>
      <w:proofErr w:type="spellStart"/>
      <w:r>
        <w:rPr>
          <w:rStyle w:val="word-wrapper"/>
          <w:color w:val="242424"/>
          <w:sz w:val="30"/>
          <w:szCs w:val="30"/>
        </w:rPr>
        <w:t>Монтеджа</w:t>
      </w:r>
      <w:proofErr w:type="spellEnd"/>
      <w:r>
        <w:rPr>
          <w:rStyle w:val="word-wrapper"/>
          <w:color w:val="242424"/>
          <w:sz w:val="30"/>
          <w:szCs w:val="30"/>
        </w:rPr>
        <w:t>), перелом лучевой кости в нижней трети с вывихом головки локтевой кости (</w:t>
      </w:r>
      <w:proofErr w:type="spellStart"/>
      <w:r>
        <w:rPr>
          <w:rStyle w:val="word-wrapper"/>
          <w:color w:val="242424"/>
          <w:sz w:val="30"/>
          <w:szCs w:val="30"/>
        </w:rPr>
        <w:t>переломо</w:t>
      </w:r>
      <w:proofErr w:type="spellEnd"/>
      <w:r>
        <w:rPr>
          <w:rStyle w:val="word-wrapper"/>
          <w:color w:val="242424"/>
          <w:sz w:val="30"/>
          <w:szCs w:val="30"/>
        </w:rPr>
        <w:t xml:space="preserve">-вывих </w:t>
      </w:r>
      <w:proofErr w:type="spellStart"/>
      <w:r>
        <w:rPr>
          <w:rStyle w:val="word-wrapper"/>
          <w:color w:val="242424"/>
          <w:sz w:val="30"/>
          <w:szCs w:val="30"/>
        </w:rPr>
        <w:t>Галеацци</w:t>
      </w:r>
      <w:proofErr w:type="spellEnd"/>
      <w:r>
        <w:rPr>
          <w:rStyle w:val="word-wrapper"/>
          <w:color w:val="242424"/>
          <w:sz w:val="30"/>
          <w:szCs w:val="30"/>
        </w:rPr>
        <w:t>);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абзацы исключены. -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открытый или закрытый перелом вертлужной впадины;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травматическая ампутация нижней конечности выше уровня дистальной трети диафизов плюсневых костей;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открытый или закрытый перелом бедренной кости, за исключением изолированного перелома большого и малого вертелов;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открытый или закрытый перелом костей, составляющих коленный сустав;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открытый или закрытый перелом диафиза большеберцовой кости;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lastRenderedPageBreak/>
        <w:t xml:space="preserve">повреждение </w:t>
      </w:r>
      <w:proofErr w:type="spellStart"/>
      <w:r>
        <w:rPr>
          <w:rStyle w:val="word-wrapper"/>
          <w:color w:val="242424"/>
          <w:sz w:val="30"/>
          <w:szCs w:val="30"/>
        </w:rPr>
        <w:t>межберцового</w:t>
      </w:r>
      <w:proofErr w:type="spellEnd"/>
      <w:r>
        <w:rPr>
          <w:rStyle w:val="word-wrapper"/>
          <w:color w:val="242424"/>
          <w:sz w:val="30"/>
          <w:szCs w:val="30"/>
        </w:rPr>
        <w:t xml:space="preserve"> синдесмоза без перелома малоберцовой кости в сочетании с разрывом дельтовидной связки и подвывихом стопы;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открытый или закрытый перелом дистального отдела большеберцовой кости, за исключением изолированных переломов переднего и заднего края большеберцовой кости без смещения;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открытый или закрытый перелом внутренней лодыжки (или разрыв дельтовидной связки) в сочетании с переломом малоберцовой кости на любом уровне;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(в ред.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постановления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 xml:space="preserve">вывих или </w:t>
      </w:r>
      <w:proofErr w:type="spellStart"/>
      <w:r>
        <w:rPr>
          <w:rStyle w:val="h-normal"/>
          <w:color w:val="242424"/>
          <w:sz w:val="30"/>
          <w:szCs w:val="30"/>
        </w:rPr>
        <w:t>переломо</w:t>
      </w:r>
      <w:proofErr w:type="spellEnd"/>
      <w:r>
        <w:rPr>
          <w:rStyle w:val="h-normal"/>
          <w:color w:val="242424"/>
          <w:sz w:val="30"/>
          <w:szCs w:val="30"/>
        </w:rPr>
        <w:t xml:space="preserve">-вывих: плеча, предплечья, кисти (за исключением фаланг пальцев), бедра, голени, голеностопного сустава, стопы, в том числе в суставе </w:t>
      </w:r>
      <w:proofErr w:type="spellStart"/>
      <w:r>
        <w:rPr>
          <w:rStyle w:val="h-normal"/>
          <w:color w:val="242424"/>
          <w:sz w:val="30"/>
          <w:szCs w:val="30"/>
        </w:rPr>
        <w:t>Лисфранка</w:t>
      </w:r>
      <w:proofErr w:type="spellEnd"/>
      <w:r>
        <w:rPr>
          <w:rStyle w:val="h-normal"/>
          <w:color w:val="242424"/>
          <w:sz w:val="30"/>
          <w:szCs w:val="30"/>
        </w:rPr>
        <w:t xml:space="preserve"> (за исключением фаланг пальцев);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(в ред.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постановления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абзацы тридцать пятый - тридцать седьмой исключены. -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повреждение сухожилий глубоких и поверхностных сгибателей кисти, четырехглавой мышцы бедра, ахиллова сухожилия, связочного аппарата коленного сустава (полное повреждение передней и (или) задней крестообразных связок, боковых связок), связочного аппарата голеностопного сустава с подвывихом стопы;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(в ред.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постановления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размозжение кисти, стопы или их частей;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сдавление мягких тканей конечностей с синдромом длительного сдавления (краш-синдромом);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(в ред.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постановления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абзац исключен. -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проникающее ранение сустава конечности: плечевого, локтевого, тазобедренного, коленного, голеностопного;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термические (включая электрические), химические, солнечные, световые (лазерным и ультрафиолетовым излучением) ожоги I степени площадью 20% и более от общей площади поверхности тела, II степени без частичного некроза дермы на площади 10% и более, II степени с частичным некрозом дермы на площади 2% и более, III степени без повреждения подкожно-жировой клетчатки и глубжележащих тканей на площади 1% и более, III степени с повреждением подкожно-жировой клетчатки и глубжележащих тканей на любой площади;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lastRenderedPageBreak/>
        <w:t>лучевые ожоги (вызванные воздействием ионизирующего излучения) независимо от степени и площади поражения;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proofErr w:type="spellStart"/>
      <w:r>
        <w:rPr>
          <w:rStyle w:val="word-wrapper"/>
          <w:color w:val="242424"/>
          <w:sz w:val="30"/>
          <w:szCs w:val="30"/>
        </w:rPr>
        <w:t>термоингаляционная</w:t>
      </w:r>
      <w:proofErr w:type="spellEnd"/>
      <w:r>
        <w:rPr>
          <w:rStyle w:val="word-wrapper"/>
          <w:color w:val="242424"/>
          <w:sz w:val="30"/>
          <w:szCs w:val="30"/>
        </w:rPr>
        <w:t xml:space="preserve"> травма (ожог дыхательных путей, дымовая токсическая ингаляция) II и III степени тяжести, сопровождающаяся развитием острой дыхательной недостаточности в первые 12 часов с момента получения травмы;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отморожения с некрозом тканей любой площади и локализации;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общее переохлаждение (гипотермия) II и III степени тяжести (температура тела, измеренная в подмышечной области и паховой складке, 34 °C и ниже);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proofErr w:type="spellStart"/>
      <w:r>
        <w:rPr>
          <w:rStyle w:val="word-wrapper"/>
          <w:color w:val="242424"/>
          <w:sz w:val="30"/>
          <w:szCs w:val="30"/>
        </w:rPr>
        <w:t>электротравма</w:t>
      </w:r>
      <w:proofErr w:type="spellEnd"/>
      <w:r>
        <w:rPr>
          <w:rStyle w:val="word-wrapper"/>
          <w:color w:val="242424"/>
          <w:sz w:val="30"/>
          <w:szCs w:val="30"/>
        </w:rPr>
        <w:t xml:space="preserve"> II, III, IV степени тяжести с наличием либо без наличия ожогов;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лучевые поражения, проявляющиеся острой лучевой болезнью;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6.3. повреждения здоровья, непосредственно не угрожающие жизни пациента (потерпевшего), но являющиеся тяжелыми по возможным или ожидаемым последствиям: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переломы верхней или нижней челюсти;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выраженные обезображивающие дефекты головы, лица, шеи, заживление которых невозможно без их пластического замещения;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ранение лица с повреждением лицевого нерва и его крупных ветвей, потеря части носа, одной или двух ушных раковин;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отсутствие всех фаланг четырех пальцев одной кисти, исключая первый палец;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отсутствие всех фаланг трех пальцев кисти, включая первый палец;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отсутствие первого и второго пальцев кисти с соответствующими пястными костями;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отсутствие трех пальцев кисти с соответствующими пястными костями;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отсутствие первых пальцев обеих кистей;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перелом пяточной кости со смещением;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перелом таранной кости;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 xml:space="preserve">переломы двух и более костей </w:t>
      </w:r>
      <w:proofErr w:type="spellStart"/>
      <w:r>
        <w:rPr>
          <w:rStyle w:val="word-wrapper"/>
          <w:color w:val="242424"/>
          <w:sz w:val="30"/>
          <w:szCs w:val="30"/>
        </w:rPr>
        <w:t>пястья</w:t>
      </w:r>
      <w:proofErr w:type="spellEnd"/>
      <w:r>
        <w:rPr>
          <w:rStyle w:val="word-wrapper"/>
          <w:color w:val="242424"/>
          <w:sz w:val="30"/>
          <w:szCs w:val="30"/>
        </w:rPr>
        <w:t xml:space="preserve"> или плюсны, переломы двух и более костей запястья или предплюсны;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(абзац введен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постановлением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паралич (</w:t>
      </w:r>
      <w:proofErr w:type="spellStart"/>
      <w:r>
        <w:rPr>
          <w:rStyle w:val="word-wrapper"/>
          <w:color w:val="242424"/>
          <w:sz w:val="30"/>
          <w:szCs w:val="30"/>
        </w:rPr>
        <w:t>плегия</w:t>
      </w:r>
      <w:proofErr w:type="spellEnd"/>
      <w:r>
        <w:rPr>
          <w:rStyle w:val="word-wrapper"/>
          <w:color w:val="242424"/>
          <w:sz w:val="30"/>
          <w:szCs w:val="30"/>
        </w:rPr>
        <w:t>) или иное состояние, приводящее к утрате функции конечности;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h-normal"/>
          <w:rFonts w:ascii="Arial" w:hAnsi="Arial" w:cs="Arial"/>
          <w:color w:val="575757"/>
          <w:sz w:val="21"/>
          <w:szCs w:val="21"/>
        </w:rPr>
        <w:t>(в ред.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постановления</w:t>
      </w:r>
      <w:r>
        <w:rPr>
          <w:rStyle w:val="fake-non-breaking-space"/>
          <w:rFonts w:ascii="Arial" w:hAnsi="Arial" w:cs="Arial"/>
          <w:color w:val="575757"/>
          <w:sz w:val="21"/>
          <w:szCs w:val="21"/>
        </w:rPr>
        <w:t> </w:t>
      </w:r>
      <w:r>
        <w:rPr>
          <w:rStyle w:val="h-normal"/>
          <w:rFonts w:ascii="Arial" w:hAnsi="Arial" w:cs="Arial"/>
          <w:color w:val="575757"/>
          <w:sz w:val="21"/>
          <w:szCs w:val="21"/>
        </w:rPr>
        <w:t>Минздрава от 11.09.2025 N 103)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rStyle w:val="color0000ff"/>
          <w:rFonts w:ascii="Arial" w:hAnsi="Arial" w:cs="Arial"/>
          <w:color w:val="575757"/>
          <w:sz w:val="21"/>
          <w:szCs w:val="21"/>
        </w:rPr>
        <w:t>(см. текст в предыдущей </w:t>
      </w:r>
      <w:r>
        <w:rPr>
          <w:rStyle w:val="colorff00ff"/>
          <w:rFonts w:ascii="Arial" w:hAnsi="Arial" w:cs="Arial"/>
          <w:color w:val="575757"/>
          <w:sz w:val="21"/>
          <w:szCs w:val="21"/>
        </w:rPr>
        <w:t>редакции</w:t>
      </w:r>
      <w:r>
        <w:rPr>
          <w:rStyle w:val="color0000ff"/>
          <w:rFonts w:ascii="Arial" w:hAnsi="Arial" w:cs="Arial"/>
          <w:color w:val="575757"/>
          <w:sz w:val="21"/>
          <w:szCs w:val="21"/>
        </w:rPr>
        <w:t>)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lastRenderedPageBreak/>
        <w:t>умеренный, выраженный или резко выраженный парез, нарушающий функцию конечности;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расстройство или потеря зрения, в том числе вследствие контузии глаза III степени (тяжелой), проникающего ранения глазного яблока, размозжения и разрушения глазного яблока, травматического повреждения глазницы, в том числе переломов костей глазницы с повреждением зрительного нерва;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потеря слуха, речи.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7. Производственные травмы, не указанные в пункте 6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настоящих Правил, являются производственными травмами, не относящимися к тяжелым.</w:t>
      </w:r>
    </w:p>
    <w:p w:rsidR="00402A7C" w:rsidRDefault="00402A7C" w:rsidP="00402A7C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8. Сведения о тяжести производственной травмы пациента (потерпевшего) вносятся в медицинские документы пациента (потерпевшего), журнал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учета пациентов (потерпевших), получивших производственную травму, и предоставляются организацией здравоохранения заинтересованным лицам в виде заключения</w:t>
      </w:r>
      <w:r>
        <w:rPr>
          <w:rStyle w:val="fake-non-breaking-space"/>
          <w:color w:val="242424"/>
          <w:sz w:val="30"/>
          <w:szCs w:val="30"/>
        </w:rPr>
        <w:t> </w:t>
      </w:r>
      <w:r>
        <w:rPr>
          <w:rStyle w:val="word-wrapper"/>
          <w:color w:val="242424"/>
          <w:sz w:val="30"/>
          <w:szCs w:val="30"/>
        </w:rPr>
        <w:t>о тяжести производственной травмы в случаях и порядке, установленных законодательством.</w:t>
      </w:r>
    </w:p>
    <w:p w:rsidR="00B44FD7" w:rsidRDefault="00B44FD7"/>
    <w:sectPr w:rsidR="00B44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A7C"/>
    <w:rsid w:val="00402A7C"/>
    <w:rsid w:val="00B4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C19E5"/>
  <w15:chartTrackingRefBased/>
  <w15:docId w15:val="{25632A6B-9E76-4361-B79A-F5AA6353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consnonformat">
    <w:name w:val="p-consnonformat"/>
    <w:basedOn w:val="a"/>
    <w:rsid w:val="00402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402A7C"/>
  </w:style>
  <w:style w:type="character" w:customStyle="1" w:styleId="colorff0000">
    <w:name w:val="color__ff0000"/>
    <w:basedOn w:val="a0"/>
    <w:rsid w:val="00402A7C"/>
  </w:style>
  <w:style w:type="paragraph" w:customStyle="1" w:styleId="p-normal">
    <w:name w:val="p-normal"/>
    <w:basedOn w:val="a"/>
    <w:rsid w:val="00402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402A7C"/>
  </w:style>
  <w:style w:type="character" w:customStyle="1" w:styleId="fake-non-breaking-space">
    <w:name w:val="fake-non-breaking-space"/>
    <w:basedOn w:val="a0"/>
    <w:rsid w:val="00402A7C"/>
  </w:style>
  <w:style w:type="character" w:customStyle="1" w:styleId="word-wrapper">
    <w:name w:val="word-wrapper"/>
    <w:basedOn w:val="a0"/>
    <w:rsid w:val="00402A7C"/>
  </w:style>
  <w:style w:type="character" w:customStyle="1" w:styleId="color0000ff">
    <w:name w:val="color__0000ff"/>
    <w:basedOn w:val="a0"/>
    <w:rsid w:val="00402A7C"/>
  </w:style>
  <w:style w:type="character" w:customStyle="1" w:styleId="colorff00ff">
    <w:name w:val="color__ff00ff"/>
    <w:basedOn w:val="a0"/>
    <w:rsid w:val="00402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2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9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26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1360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24861146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43694486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449935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50224029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07913817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37161399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05828515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27405095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4780414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89551268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50913005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6089734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06988879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9803530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64712403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31695215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6363707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63567623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422380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75382376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7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8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699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4435766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45695041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44908255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09219544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48208549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72051797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6846750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9468143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54502540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46796703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40957448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49017357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2488108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2025-11-27T05:57:00Z</dcterms:created>
  <dcterms:modified xsi:type="dcterms:W3CDTF">2025-11-27T05:58:00Z</dcterms:modified>
</cp:coreProperties>
</file>